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6923" w:rsidRDefault="00D04C5F">
      <w:pPr>
        <w:rPr>
          <w:rFonts w:ascii="Arial" w:eastAsia="Arial" w:hAnsi="Arial" w:cs="Arial"/>
          <w:b/>
          <w:sz w:val="36"/>
          <w:szCs w:val="36"/>
        </w:rPr>
      </w:pPr>
      <w:r>
        <w:rPr>
          <w:rFonts w:ascii="Arial" w:eastAsia="Arial" w:hAnsi="Arial" w:cs="Arial"/>
          <w:b/>
          <w:sz w:val="36"/>
          <w:szCs w:val="36"/>
        </w:rPr>
        <w:t>Framework Schedule 3 (Framework Prices)</w:t>
      </w:r>
    </w:p>
    <w:p w:rsidR="00226923" w:rsidRDefault="00D04C5F">
      <w:pPr>
        <w:numPr>
          <w:ilvl w:val="0"/>
          <w:numId w:val="1"/>
        </w:numPr>
        <w:pBdr>
          <w:top w:val="nil"/>
          <w:left w:val="nil"/>
          <w:bottom w:val="nil"/>
          <w:right w:val="nil"/>
          <w:between w:val="nil"/>
        </w:pBdr>
        <w:tabs>
          <w:tab w:val="left" w:pos="142"/>
        </w:tabs>
        <w:spacing w:before="120" w:after="240" w:line="240" w:lineRule="auto"/>
        <w:jc w:val="both"/>
      </w:pPr>
      <w:bookmarkStart w:id="0" w:name="_heading=h.gjdgxs" w:colFirst="0" w:colLast="0"/>
      <w:bookmarkEnd w:id="0"/>
      <w:r>
        <w:rPr>
          <w:rFonts w:ascii="Arial" w:eastAsia="Arial" w:hAnsi="Arial" w:cs="Arial"/>
          <w:b/>
          <w:color w:val="000000"/>
          <w:sz w:val="24"/>
          <w:szCs w:val="24"/>
        </w:rPr>
        <w:t>How Framework Prices are used to calculate Call-Off Charges</w:t>
      </w:r>
    </w:p>
    <w:p w:rsidR="00226923" w:rsidRDefault="00D04C5F">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rsidR="00226923" w:rsidRDefault="00D04C5F">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 Off Contract; and</w:t>
      </w:r>
    </w:p>
    <w:p w:rsidR="00226923" w:rsidRDefault="00D04C5F">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in accordance with this Schedule.</w:t>
      </w:r>
    </w:p>
    <w:p w:rsidR="00226923" w:rsidRDefault="00D04C5F">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rsidR="00226923" w:rsidRDefault="00D04C5F">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rsidR="00226923" w:rsidRDefault="00D04C5F">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shall not be impacted by any change to</w:t>
      </w:r>
      <w:r>
        <w:rPr>
          <w:rFonts w:ascii="Arial" w:eastAsia="Arial" w:hAnsi="Arial" w:cs="Arial"/>
          <w:color w:val="000000"/>
          <w:sz w:val="24"/>
          <w:szCs w:val="24"/>
        </w:rPr>
        <w:t xml:space="preserve"> the Framework Prices. </w:t>
      </w:r>
    </w:p>
    <w:p w:rsidR="00226923" w:rsidRDefault="00D04C5F">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Any variation to the Charges payable under a Call Off Contract must be agreed between the Supplier and the Buyer and implemented using the same procedure for altering Framework Prices in accordance with the provisions of this Framew</w:t>
      </w:r>
      <w:r>
        <w:rPr>
          <w:rFonts w:ascii="Arial" w:eastAsia="Arial" w:hAnsi="Arial" w:cs="Arial"/>
          <w:color w:val="000000"/>
          <w:sz w:val="24"/>
          <w:szCs w:val="24"/>
        </w:rPr>
        <w:t>ork Schedule 3.</w:t>
      </w:r>
    </w:p>
    <w:p w:rsidR="00226923" w:rsidRDefault="00D04C5F">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rsidR="00226923" w:rsidRDefault="00D04C5F">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pricing mechanisms and prices set out in Annex 1 shall be available for use in calculation of Framework Prices in Call Off Contracts.</w:t>
      </w:r>
    </w:p>
    <w:p w:rsidR="00226923" w:rsidRDefault="00D04C5F">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Prices for Goods and Services under this Framework Contract shall be comparable to the Supplier’s lowest available prices for comparable goods and services provided by the Supplier to the public sector through other commercial arrangements and that are sup</w:t>
      </w:r>
      <w:r>
        <w:rPr>
          <w:rFonts w:ascii="Arial" w:eastAsia="Arial" w:hAnsi="Arial" w:cs="Arial"/>
          <w:color w:val="000000"/>
          <w:sz w:val="24"/>
          <w:szCs w:val="24"/>
        </w:rPr>
        <w:t>plied on comparable terms.</w:t>
      </w:r>
    </w:p>
    <w:p w:rsidR="00226923" w:rsidRDefault="00D04C5F">
      <w:pPr>
        <w:numPr>
          <w:ilvl w:val="0"/>
          <w:numId w:val="1"/>
        </w:numPr>
        <w:pBdr>
          <w:top w:val="nil"/>
          <w:left w:val="nil"/>
          <w:bottom w:val="nil"/>
          <w:right w:val="nil"/>
          <w:between w:val="nil"/>
        </w:pBdr>
        <w:tabs>
          <w:tab w:val="left" w:pos="142"/>
        </w:tabs>
        <w:spacing w:before="120" w:after="240" w:line="240" w:lineRule="auto"/>
        <w:jc w:val="both"/>
      </w:pPr>
      <w:bookmarkStart w:id="2" w:name="bookmark=id.3znysh7" w:colFirst="0" w:colLast="0"/>
      <w:bookmarkStart w:id="3" w:name="_heading=h.1fob9te" w:colFirst="0" w:colLast="0"/>
      <w:bookmarkEnd w:id="2"/>
      <w:bookmarkEnd w:id="3"/>
      <w:r>
        <w:rPr>
          <w:rFonts w:ascii="Arial" w:eastAsia="Arial" w:hAnsi="Arial" w:cs="Arial"/>
          <w:b/>
          <w:color w:val="000000"/>
          <w:sz w:val="24"/>
          <w:szCs w:val="24"/>
        </w:rPr>
        <w:t xml:space="preserve">Are costs and expenses are included in the Framework </w:t>
      </w:r>
      <w:proofErr w:type="gramStart"/>
      <w:r>
        <w:rPr>
          <w:rFonts w:ascii="Arial" w:eastAsia="Arial" w:hAnsi="Arial" w:cs="Arial"/>
          <w:b/>
          <w:color w:val="000000"/>
          <w:sz w:val="24"/>
          <w:szCs w:val="24"/>
        </w:rPr>
        <w:t>Prices</w:t>
      </w:r>
      <w:proofErr w:type="gramEnd"/>
    </w:p>
    <w:p w:rsidR="00226923" w:rsidRDefault="00D04C5F">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Except as expressly set out in Paragraph 6 below, or otherwise stated in a Call Off Order Form the Framework Prices shall include all costs and expenses relating to the </w:t>
      </w:r>
      <w:r>
        <w:rPr>
          <w:rFonts w:ascii="Arial" w:eastAsia="Arial" w:hAnsi="Arial" w:cs="Arial"/>
          <w:color w:val="000000"/>
          <w:sz w:val="24"/>
          <w:szCs w:val="24"/>
        </w:rPr>
        <w:t>provision of Deliverables. No further amounts shall be payable in respect of matters such as:</w:t>
      </w:r>
    </w:p>
    <w:p w:rsidR="00226923" w:rsidRDefault="00D04C5F">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incidental expenses such as travel, subsistence and lodging, document or report reproduction, shipping, desktop or office equipment costs, network or data interch</w:t>
      </w:r>
      <w:r>
        <w:rPr>
          <w:rFonts w:ascii="Arial" w:eastAsia="Arial" w:hAnsi="Arial" w:cs="Arial"/>
          <w:color w:val="000000"/>
          <w:sz w:val="24"/>
          <w:szCs w:val="24"/>
        </w:rPr>
        <w:t>ange costs or other telecommunications charges; or</w:t>
      </w:r>
    </w:p>
    <w:p w:rsidR="00226923" w:rsidRDefault="00D04C5F">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costs incurred prior to the commencement of any Call Off Contract.</w:t>
      </w:r>
    </w:p>
    <w:p w:rsidR="00226923" w:rsidRDefault="00D04C5F">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rsidR="00226923" w:rsidRDefault="00D04C5F">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The Framework Prices will be fixed for the first 18 months following the Framework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xml:space="preserve">").  After this Framework Prices can only be </w:t>
      </w:r>
      <w:r>
        <w:rPr>
          <w:rFonts w:ascii="Arial" w:eastAsia="Arial" w:hAnsi="Arial" w:cs="Arial"/>
          <w:color w:val="000000"/>
          <w:sz w:val="24"/>
          <w:szCs w:val="24"/>
        </w:rPr>
        <w:lastRenderedPageBreak/>
        <w:t>adjusted on each following yearly anniversary (th</w:t>
      </w:r>
      <w:r>
        <w:rPr>
          <w:rFonts w:ascii="Arial" w:eastAsia="Arial" w:hAnsi="Arial" w:cs="Arial"/>
          <w:color w:val="000000"/>
          <w:sz w:val="24"/>
          <w:szCs w:val="24"/>
        </w:rPr>
        <w:t>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rsidR="00226923" w:rsidRDefault="00D04C5F">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The Supplier shall give CCS at least three (3) Months' notice in writing prior to a Review Date where it wants to request an increase.  If the Supplier does not give notice in time then it will only</w:t>
      </w:r>
      <w:r>
        <w:rPr>
          <w:rFonts w:ascii="Arial" w:eastAsia="Arial" w:hAnsi="Arial" w:cs="Arial"/>
          <w:color w:val="000000"/>
          <w:sz w:val="24"/>
          <w:szCs w:val="24"/>
        </w:rPr>
        <w:t xml:space="preserve"> be able to request an increase prior to the next Review Date.</w:t>
      </w:r>
    </w:p>
    <w:p w:rsidR="00226923" w:rsidRDefault="00D04C5F">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rsidR="00226923" w:rsidRDefault="00D04C5F">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list of the Framework Prices to be reviewed;</w:t>
      </w:r>
    </w:p>
    <w:p w:rsidR="00226923" w:rsidRDefault="00D04C5F">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for each Framework Price under review, written evidence of the justification for the requested in</w:t>
      </w:r>
      <w:r>
        <w:rPr>
          <w:rFonts w:ascii="Arial" w:eastAsia="Arial" w:hAnsi="Arial" w:cs="Arial"/>
          <w:color w:val="000000"/>
          <w:sz w:val="24"/>
          <w:szCs w:val="24"/>
        </w:rPr>
        <w:t>crease including:</w:t>
      </w:r>
    </w:p>
    <w:p w:rsidR="00226923" w:rsidRDefault="00D04C5F">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b/>
          <w:i/>
          <w:color w:val="000000"/>
          <w:sz w:val="24"/>
          <w:szCs w:val="24"/>
        </w:rPr>
      </w:pPr>
      <w:r>
        <w:rPr>
          <w:rFonts w:ascii="Arial" w:eastAsia="Arial" w:hAnsi="Arial" w:cs="Arial"/>
          <w:color w:val="000000"/>
          <w:sz w:val="24"/>
          <w:szCs w:val="24"/>
        </w:rPr>
        <w:t>a breakdown of the profit and cost components that comprise the relevant Framework Price]</w:t>
      </w:r>
    </w:p>
    <w:p w:rsidR="00226923" w:rsidRDefault="00D04C5F">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details of the movement in the different identified cost components of the relevant Framework Price;</w:t>
      </w:r>
    </w:p>
    <w:p w:rsidR="00226923" w:rsidRDefault="00D04C5F">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reasons for the movement in the different identified cost components of the relevant Framework Price;</w:t>
      </w:r>
    </w:p>
    <w:p w:rsidR="00226923" w:rsidRDefault="00D04C5F">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evidence that the Supplier has attempted to mitigate against the increase in the relevant cost components; and</w:t>
      </w:r>
    </w:p>
    <w:p w:rsidR="00226923" w:rsidRDefault="00D04C5F">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evidence that the Supplier’s profit compone</w:t>
      </w:r>
      <w:r>
        <w:rPr>
          <w:rFonts w:ascii="Arial" w:eastAsia="Arial" w:hAnsi="Arial" w:cs="Arial"/>
          <w:color w:val="000000"/>
          <w:sz w:val="24"/>
          <w:szCs w:val="24"/>
        </w:rPr>
        <w:t>nt of the relevant Framework Price is no greater than that applying to Framework Prices using the same pricing mechanism as at the Contract Commencement Date.</w:t>
      </w:r>
    </w:p>
    <w:p w:rsidR="00226923" w:rsidRDefault="00D04C5F">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CCS shall consider each request for a price increase.  CCS may grant Approval to an increase at i</w:t>
      </w:r>
      <w:r>
        <w:rPr>
          <w:rFonts w:ascii="Arial" w:eastAsia="Arial" w:hAnsi="Arial" w:cs="Arial"/>
          <w:color w:val="000000"/>
          <w:sz w:val="24"/>
          <w:szCs w:val="24"/>
        </w:rPr>
        <w:t>ts sole discretion.</w:t>
      </w:r>
    </w:p>
    <w:p w:rsidR="00226923" w:rsidRDefault="00D04C5F">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Where CCS approves an increase then it will be implemented from the first (1st) Working Day following the relevant Review Date or such later date as CCS may determine at its sole discretion and Annex 1 shall be updated accordingly.</w:t>
      </w:r>
    </w:p>
    <w:p w:rsidR="00226923" w:rsidRDefault="00D04C5F">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Framework Prices</w:t>
      </w:r>
    </w:p>
    <w:p w:rsidR="00226923" w:rsidRDefault="00D04C5F">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rsidR="00226923" w:rsidRDefault="00D04C5F">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rsidR="00226923" w:rsidRDefault="00D04C5F">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review in accordance with insurance requi</w:t>
      </w:r>
      <w:r>
        <w:rPr>
          <w:rFonts w:ascii="Arial" w:eastAsia="Arial" w:hAnsi="Arial" w:cs="Arial"/>
          <w:color w:val="000000"/>
          <w:sz w:val="24"/>
          <w:szCs w:val="24"/>
        </w:rPr>
        <w:t xml:space="preserve">rements in Clause 13; </w:t>
      </w:r>
    </w:p>
    <w:p w:rsidR="00226923" w:rsidRDefault="00D04C5F">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benchmarking review in accordance with Call Off Schedule 16 (Benchmarking)</w:t>
      </w:r>
    </w:p>
    <w:p w:rsidR="00226923" w:rsidRDefault="00D04C5F">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color w:val="000000"/>
          <w:sz w:val="24"/>
          <w:szCs w:val="24"/>
        </w:rPr>
      </w:pPr>
      <w:r>
        <w:rPr>
          <w:rFonts w:ascii="Arial" w:eastAsia="Arial" w:hAnsi="Arial" w:cs="Arial"/>
          <w:color w:val="000000"/>
          <w:sz w:val="24"/>
          <w:szCs w:val="24"/>
        </w:rPr>
        <w:t xml:space="preserve">a request from the Supplier, which it can make at any time, to decrease the Framework Prices; </w:t>
      </w:r>
    </w:p>
    <w:p w:rsidR="00226923" w:rsidRDefault="00D04C5F">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you will be reimbursed for travel and subsistence</w:t>
      </w:r>
    </w:p>
    <w:p w:rsidR="00226923" w:rsidRDefault="00D04C5F">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Expenses shall only be recoverable where:</w:t>
      </w:r>
    </w:p>
    <w:p w:rsidR="00226923" w:rsidRDefault="00D04C5F">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lastRenderedPageBreak/>
        <w:t>the Time and Materials pricing mechanism is used; and</w:t>
      </w:r>
    </w:p>
    <w:p w:rsidR="00226923" w:rsidRDefault="00D04C5F">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Order Form states that recovery is permitted; and</w:t>
      </w:r>
    </w:p>
    <w:p w:rsidR="00226923" w:rsidRDefault="00D04C5F">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they are Reimbursable Expenses and are supported by Supporting Documentation.</w:t>
      </w:r>
    </w:p>
    <w:p w:rsidR="00226923" w:rsidRDefault="00D04C5F">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For the purposes of paragraph 6.1 of this Schedule, a “</w:t>
      </w:r>
      <w:r>
        <w:rPr>
          <w:rFonts w:ascii="Arial" w:eastAsia="Arial" w:hAnsi="Arial" w:cs="Arial"/>
          <w:b/>
          <w:color w:val="000000"/>
          <w:sz w:val="24"/>
          <w:szCs w:val="24"/>
        </w:rPr>
        <w:t>Time and Materials pricing mechanism</w:t>
      </w:r>
      <w:r>
        <w:rPr>
          <w:rFonts w:ascii="Arial" w:eastAsia="Arial" w:hAnsi="Arial" w:cs="Arial"/>
          <w:color w:val="000000"/>
          <w:sz w:val="24"/>
          <w:szCs w:val="24"/>
        </w:rPr>
        <w:t>” means a pricing mechanism whereby the Buyer agrees to pay the Supplier based upon the work performed by the Supplier's Staff, and for materials used in the project</w:t>
      </w:r>
      <w:r>
        <w:rPr>
          <w:rFonts w:ascii="Arial" w:eastAsia="Arial" w:hAnsi="Arial" w:cs="Arial"/>
          <w:color w:val="000000"/>
          <w:sz w:val="24"/>
          <w:szCs w:val="24"/>
        </w:rPr>
        <w:t>, no matter how much work is required to complete the project. In the event that a Call-Off Contract uses this pricing mechanism the price shall be based upon the prices detailed in Table 1 of Annex 1 to Framework Schedule 3.</w:t>
      </w:r>
    </w:p>
    <w:p w:rsidR="00226923" w:rsidRDefault="00D04C5F">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The Buyer shall provide a copy</w:t>
      </w:r>
      <w:r>
        <w:rPr>
          <w:rFonts w:ascii="Arial" w:eastAsia="Arial" w:hAnsi="Arial" w:cs="Arial"/>
          <w:color w:val="000000"/>
          <w:sz w:val="24"/>
          <w:szCs w:val="24"/>
        </w:rPr>
        <w:t xml:space="preserve"> of their current expenses policy to the Supplier upon request. </w:t>
      </w:r>
    </w:p>
    <w:p w:rsidR="00226923" w:rsidRDefault="00226923">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color w:val="000000"/>
          <w:highlight w:val="yellow"/>
        </w:rPr>
      </w:pPr>
    </w:p>
    <w:p w:rsidR="00226923" w:rsidRDefault="00226923">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rsidR="00226923" w:rsidRDefault="00D04C5F">
      <w:pPr>
        <w:rPr>
          <w:rFonts w:ascii="Arial" w:eastAsia="Arial" w:hAnsi="Arial" w:cs="Arial"/>
          <w:b/>
          <w:sz w:val="36"/>
          <w:szCs w:val="36"/>
        </w:rPr>
      </w:pPr>
      <w:bookmarkStart w:id="7" w:name="_heading=h.1t3h5sf" w:colFirst="0" w:colLast="0"/>
      <w:bookmarkEnd w:id="7"/>
      <w:r>
        <w:br w:type="page"/>
      </w:r>
      <w:r>
        <w:rPr>
          <w:rFonts w:ascii="Arial" w:eastAsia="Arial" w:hAnsi="Arial" w:cs="Arial"/>
          <w:b/>
          <w:sz w:val="36"/>
          <w:szCs w:val="36"/>
        </w:rPr>
        <w:lastRenderedPageBreak/>
        <w:t>Annex 1: Rates and Prices</w:t>
      </w:r>
    </w:p>
    <w:p w:rsidR="00226923" w:rsidRDefault="003A294E">
      <w:pPr>
        <w:rPr>
          <w:rFonts w:ascii="Arial" w:eastAsia="Arial" w:hAnsi="Arial" w:cs="Arial"/>
          <w:sz w:val="24"/>
          <w:szCs w:val="24"/>
        </w:rPr>
      </w:pPr>
      <w:bookmarkStart w:id="8" w:name="_heading=h.4d34og8" w:colFirst="0" w:colLast="0"/>
      <w:bookmarkEnd w:id="8"/>
      <w:r>
        <w:rPr>
          <w:rFonts w:ascii="Arial" w:eastAsia="Arial" w:hAnsi="Arial" w:cs="Arial"/>
          <w:b/>
        </w:rPr>
        <w:t>Redacted under FOIA section 43, Commercial I</w:t>
      </w:r>
      <w:r w:rsidRPr="00F21FAA">
        <w:rPr>
          <w:rFonts w:ascii="Arial" w:eastAsia="Arial" w:hAnsi="Arial" w:cs="Arial"/>
          <w:b/>
        </w:rPr>
        <w:t>nterests</w:t>
      </w:r>
    </w:p>
    <w:p w:rsidR="00226923" w:rsidRDefault="00226923">
      <w:pPr>
        <w:rPr>
          <w:rFonts w:ascii="Arial" w:eastAsia="Arial" w:hAnsi="Arial" w:cs="Arial"/>
          <w:b/>
          <w:sz w:val="24"/>
          <w:szCs w:val="24"/>
        </w:rPr>
      </w:pPr>
      <w:bookmarkStart w:id="9" w:name="_GoBack"/>
      <w:bookmarkEnd w:id="9"/>
    </w:p>
    <w:p w:rsidR="00226923" w:rsidRDefault="00226923">
      <w:pPr>
        <w:rPr>
          <w:rFonts w:ascii="Arial" w:eastAsia="Arial" w:hAnsi="Arial" w:cs="Arial"/>
          <w:b/>
          <w:sz w:val="24"/>
          <w:szCs w:val="24"/>
        </w:rPr>
      </w:pPr>
    </w:p>
    <w:p w:rsidR="00226923" w:rsidRDefault="00226923">
      <w:pPr>
        <w:rPr>
          <w:rFonts w:ascii="Arial" w:eastAsia="Arial" w:hAnsi="Arial" w:cs="Arial"/>
          <w:b/>
          <w:sz w:val="24"/>
          <w:szCs w:val="24"/>
        </w:rPr>
      </w:pPr>
    </w:p>
    <w:p w:rsidR="00226923" w:rsidRDefault="00226923">
      <w:pPr>
        <w:rPr>
          <w:rFonts w:ascii="Arial" w:eastAsia="Arial" w:hAnsi="Arial" w:cs="Arial"/>
          <w:b/>
          <w:sz w:val="24"/>
          <w:szCs w:val="24"/>
        </w:rPr>
      </w:pPr>
    </w:p>
    <w:p w:rsidR="00226923" w:rsidRDefault="00226923">
      <w:pPr>
        <w:rPr>
          <w:rFonts w:ascii="Arial" w:eastAsia="Arial" w:hAnsi="Arial" w:cs="Arial"/>
          <w:b/>
          <w:sz w:val="24"/>
          <w:szCs w:val="24"/>
        </w:rPr>
      </w:pPr>
    </w:p>
    <w:p w:rsidR="00226923" w:rsidRDefault="00226923">
      <w:pPr>
        <w:rPr>
          <w:rFonts w:ascii="Arial" w:eastAsia="Arial" w:hAnsi="Arial" w:cs="Arial"/>
          <w:b/>
          <w:sz w:val="24"/>
          <w:szCs w:val="24"/>
        </w:rPr>
      </w:pPr>
    </w:p>
    <w:p w:rsidR="00226923" w:rsidRDefault="00226923">
      <w:pPr>
        <w:rPr>
          <w:rFonts w:ascii="Arial" w:eastAsia="Arial" w:hAnsi="Arial" w:cs="Arial"/>
          <w:b/>
          <w:sz w:val="24"/>
          <w:szCs w:val="24"/>
        </w:rPr>
      </w:pPr>
    </w:p>
    <w:p w:rsidR="00226923" w:rsidRDefault="00226923">
      <w:pPr>
        <w:rPr>
          <w:rFonts w:ascii="Arial" w:eastAsia="Arial" w:hAnsi="Arial" w:cs="Arial"/>
          <w:b/>
          <w:sz w:val="24"/>
          <w:szCs w:val="24"/>
        </w:rPr>
      </w:pPr>
    </w:p>
    <w:p w:rsidR="00226923" w:rsidRDefault="00226923">
      <w:pPr>
        <w:rPr>
          <w:rFonts w:ascii="Arial" w:eastAsia="Arial" w:hAnsi="Arial" w:cs="Arial"/>
          <w:b/>
          <w:sz w:val="24"/>
          <w:szCs w:val="24"/>
        </w:rPr>
      </w:pPr>
    </w:p>
    <w:p w:rsidR="00226923" w:rsidRDefault="00226923">
      <w:pPr>
        <w:rPr>
          <w:rFonts w:ascii="Arial" w:eastAsia="Arial" w:hAnsi="Arial" w:cs="Arial"/>
          <w:b/>
          <w:sz w:val="24"/>
          <w:szCs w:val="24"/>
        </w:rPr>
      </w:pPr>
    </w:p>
    <w:p w:rsidR="00226923" w:rsidRDefault="00226923">
      <w:pPr>
        <w:rPr>
          <w:rFonts w:ascii="Arial" w:eastAsia="Arial" w:hAnsi="Arial" w:cs="Arial"/>
          <w:b/>
          <w:sz w:val="24"/>
          <w:szCs w:val="24"/>
        </w:rPr>
        <w:sectPr w:rsidR="00226923">
          <w:headerReference w:type="default" r:id="rId8"/>
          <w:footerReference w:type="default" r:id="rId9"/>
          <w:headerReference w:type="first" r:id="rId10"/>
          <w:footerReference w:type="first" r:id="rId11"/>
          <w:pgSz w:w="11906" w:h="16838"/>
          <w:pgMar w:top="1888" w:right="1440" w:bottom="1440" w:left="1440" w:header="709" w:footer="709" w:gutter="0"/>
          <w:pgNumType w:start="1"/>
          <w:cols w:space="720"/>
        </w:sectPr>
      </w:pPr>
    </w:p>
    <w:p w:rsidR="00226923" w:rsidRDefault="00226923">
      <w:pPr>
        <w:rPr>
          <w:rFonts w:ascii="Arial" w:eastAsia="Arial" w:hAnsi="Arial" w:cs="Arial"/>
          <w:b/>
          <w:sz w:val="24"/>
          <w:szCs w:val="24"/>
        </w:rPr>
      </w:pPr>
    </w:p>
    <w:sectPr w:rsidR="00226923">
      <w:pgSz w:w="11906" w:h="16838"/>
      <w:pgMar w:top="1888"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4C5F" w:rsidRDefault="00D04C5F">
      <w:pPr>
        <w:spacing w:after="0" w:line="240" w:lineRule="auto"/>
      </w:pPr>
      <w:r>
        <w:separator/>
      </w:r>
    </w:p>
  </w:endnote>
  <w:endnote w:type="continuationSeparator" w:id="0">
    <w:p w:rsidR="00D04C5F" w:rsidRDefault="00D04C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6923" w:rsidRDefault="00D04C5F">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RM6259 Vertical Application Solutions</w:t>
    </w:r>
    <w:r>
      <w:rPr>
        <w:rFonts w:ascii="Arial" w:eastAsia="Arial" w:hAnsi="Arial" w:cs="Arial"/>
        <w:sz w:val="20"/>
        <w:szCs w:val="20"/>
      </w:rPr>
      <w:tab/>
    </w:r>
    <w:r>
      <w:rPr>
        <w:rFonts w:ascii="Arial" w:eastAsia="Arial" w:hAnsi="Arial" w:cs="Arial"/>
        <w:sz w:val="20"/>
        <w:szCs w:val="20"/>
      </w:rPr>
      <w:t xml:space="preserve">                                           </w:t>
    </w:r>
  </w:p>
  <w:p w:rsidR="00226923" w:rsidRDefault="00D04C5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3A294E">
      <w:rPr>
        <w:rFonts w:ascii="Arial" w:eastAsia="Arial" w:hAnsi="Arial" w:cs="Arial"/>
        <w:color w:val="000000"/>
        <w:sz w:val="20"/>
        <w:szCs w:val="20"/>
      </w:rPr>
      <w:fldChar w:fldCharType="separate"/>
    </w:r>
    <w:r w:rsidR="003A294E">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226923" w:rsidRDefault="00D04C5F">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6923" w:rsidRDefault="00D04C5F">
    <w:pPr>
      <w:tabs>
        <w:tab w:val="center" w:pos="4513"/>
        <w:tab w:val="right" w:pos="9026"/>
      </w:tabs>
      <w:spacing w:after="0"/>
    </w:pPr>
    <w:r>
      <w:t>Framework Ref: RM</w:t>
    </w:r>
    <w:r>
      <w:tab/>
      <w:t xml:space="preserve">                                           </w:t>
    </w:r>
  </w:p>
  <w:p w:rsidR="00226923" w:rsidRDefault="00D04C5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226923" w:rsidRDefault="00D04C5F">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4C5F" w:rsidRDefault="00D04C5F">
      <w:pPr>
        <w:spacing w:after="0" w:line="240" w:lineRule="auto"/>
      </w:pPr>
      <w:r>
        <w:separator/>
      </w:r>
    </w:p>
  </w:footnote>
  <w:footnote w:type="continuationSeparator" w:id="0">
    <w:p w:rsidR="00D04C5F" w:rsidRDefault="00D04C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6923" w:rsidRDefault="00D04C5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226923" w:rsidRDefault="00D04C5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6923" w:rsidRDefault="00D04C5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226923" w:rsidRDefault="00D04C5F">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A156A"/>
    <w:multiLevelType w:val="multilevel"/>
    <w:tmpl w:val="90A0D41A"/>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5474914"/>
    <w:multiLevelType w:val="multilevel"/>
    <w:tmpl w:val="94C827F2"/>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923"/>
    <w:rsid w:val="00226923"/>
    <w:rsid w:val="003A294E"/>
    <w:rsid w:val="00D04C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1D84E8-EFE4-43F1-95BD-1F02EF2AD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table" w:customStyle="1" w:styleId="TableGrid1">
    <w:name w:val="Table Grid1"/>
    <w:basedOn w:val="TableNormal"/>
    <w:next w:val="TableGrid"/>
    <w:uiPriority w:val="59"/>
    <w:rsid w:val="001237FF"/>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23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Ui38q8ltpekvQvBBRTEyi8iLVw==">AMUW2mWmCnGBzUoYDzodGPRDed9bBN3Ifl+JhNWfGB+PNhNwpcpbygeYLz2/L7FfZ4GJe843tIx8pGGKMPOO5Su0gXun3Q1A9goSOExbAO192zxA9/QNr+jCe1+lZxDABzIED9WBctYPGqaply5A1PM6ISSOhvLVpGcyX1glAfqi8kWFcLqTgY9NqjAI5w6r41933CkvLbBheR7pdCucPVu25Tfd1Ts8CI/bHASHdhU8ts4FisHPYLg=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751</Words>
  <Characters>4287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Keely Bowden</cp:lastModifiedBy>
  <cp:revision>2</cp:revision>
  <dcterms:created xsi:type="dcterms:W3CDTF">2022-08-01T08:52:00Z</dcterms:created>
  <dcterms:modified xsi:type="dcterms:W3CDTF">2023-03-15T11:23:00Z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